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РОССИЙСКАЯ ФЕДЕРАЦИЯ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ИРКУТСКАЯ ОБЛАСТЬ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УСТЬ-УДИНСКИЙ РАЙОН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АДМИНИСТРАЦИЯ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ПОСТАНОВЛЕНИЕ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17.12.2021</w:t>
      </w:r>
      <w:r w:rsidRPr="00637C8D">
        <w:rPr>
          <w:rFonts w:ascii="Times New Roman" w:hAnsi="Times New Roman"/>
          <w:sz w:val="24"/>
          <w:szCs w:val="24"/>
        </w:rPr>
        <w:tab/>
      </w:r>
      <w:r w:rsidRPr="00637C8D">
        <w:rPr>
          <w:rFonts w:ascii="Times New Roman" w:hAnsi="Times New Roman"/>
          <w:sz w:val="24"/>
          <w:szCs w:val="24"/>
        </w:rPr>
        <w:tab/>
      </w:r>
      <w:r w:rsidRPr="00637C8D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6264AB">
        <w:rPr>
          <w:rFonts w:ascii="Times New Roman" w:hAnsi="Times New Roman"/>
          <w:sz w:val="24"/>
          <w:szCs w:val="24"/>
        </w:rPr>
        <w:t xml:space="preserve">                            № 32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59A8" w:rsidRPr="00C106DF" w:rsidRDefault="00053DA1" w:rsidP="00637C8D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</w:t>
      </w:r>
      <w:r w:rsidRPr="00637C8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причинения вреда (ущерба) охраняемым законом ценностям при осуществлении  муниципального </w:t>
      </w:r>
      <w:r w:rsidR="004259A8" w:rsidRPr="00637C8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4259A8" w:rsidRPr="00C106D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контроля </w:t>
      </w:r>
      <w:r w:rsidR="00C106DF" w:rsidRPr="00C106DF">
        <w:rPr>
          <w:rFonts w:ascii="Times New Roman" w:hAnsi="Times New Roman" w:cs="Times New Roman"/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106DF" w:rsidRPr="00C106DF">
        <w:rPr>
          <w:rFonts w:ascii="Times New Roman" w:hAnsi="Times New Roman" w:cs="Times New Roman"/>
          <w:b/>
          <w:color w:val="000000"/>
        </w:rPr>
        <w:t>Малышевского муниципального образования</w:t>
      </w:r>
      <w:r w:rsidR="00C106D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C106D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</w:t>
      </w:r>
    </w:p>
    <w:p w:rsidR="00053DA1" w:rsidRPr="00637C8D" w:rsidRDefault="00053DA1" w:rsidP="00637C8D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37C8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на 2022 год.</w:t>
      </w:r>
    </w:p>
    <w:p w:rsidR="004259A8" w:rsidRPr="00637C8D" w:rsidRDefault="004259A8" w:rsidP="00637C8D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637C8D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hyperlink r:id="rId6" w:history="1">
        <w:r w:rsidRPr="00637C8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статьей 44</w:t>
        </w:r>
      </w:hyperlink>
      <w:r w:rsidRPr="00637C8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37C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37C8D">
        <w:rPr>
          <w:rFonts w:ascii="Times New Roman" w:hAnsi="Times New Roman"/>
          <w:sz w:val="24"/>
          <w:szCs w:val="24"/>
        </w:rPr>
        <w:t xml:space="preserve">руководствуясь ст.ст. 6, 36, 65 Устава Малышевского муниципального образования, администрация Малышевского муниципального образования, </w:t>
      </w: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ПОСТАНОВЛЯЕТ:</w:t>
      </w: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DA1" w:rsidRDefault="00053DA1" w:rsidP="00637C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 xml:space="preserve">1.Утвердить Программу профилактики рисков </w:t>
      </w:r>
      <w:r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причинения вреда (ущерба) охраняемым законом ценностям при осуществлении муниципального  </w:t>
      </w:r>
      <w:r w:rsidR="004259A8"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контроля</w:t>
      </w:r>
      <w:r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 </w:t>
      </w:r>
      <w:r w:rsidR="00C106DF" w:rsidRPr="00C106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C106DF" w:rsidRPr="00C106DF">
        <w:rPr>
          <w:rFonts w:ascii="Times New Roman" w:hAnsi="Times New Roman" w:cs="Times New Roman"/>
          <w:color w:val="000000"/>
          <w:sz w:val="24"/>
          <w:szCs w:val="24"/>
        </w:rPr>
        <w:t>Малышевского муниципального образования</w:t>
      </w:r>
      <w:r w:rsidR="00C106DF"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 2022 год</w:t>
      </w:r>
      <w:r w:rsidRPr="00637C8D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C106DF" w:rsidRPr="00637C8D" w:rsidRDefault="00C106DF" w:rsidP="00637C8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2. Контроль за исполнением постановления оставляю за собой.</w:t>
      </w: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 xml:space="preserve">3. Постановление вступает в силу со дня, следующего за днем его официального опубликования в Информационном бюллетене Малышевского муниципального образования, </w:t>
      </w:r>
      <w:r w:rsidRPr="00637C8D">
        <w:rPr>
          <w:rFonts w:ascii="Times New Roman" w:hAnsi="Times New Roman"/>
          <w:bCs/>
          <w:sz w:val="24"/>
          <w:szCs w:val="24"/>
        </w:rPr>
        <w:t>но не ранее</w:t>
      </w:r>
      <w:r w:rsidR="00E90713">
        <w:rPr>
          <w:rFonts w:ascii="Times New Roman" w:hAnsi="Times New Roman"/>
          <w:sz w:val="24"/>
          <w:szCs w:val="24"/>
        </w:rPr>
        <w:t xml:space="preserve"> 01.01.2022 года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Глава администрации Малышевского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муниципального образования</w:t>
      </w:r>
      <w:r w:rsidRPr="00637C8D">
        <w:rPr>
          <w:rFonts w:ascii="Times New Roman" w:hAnsi="Times New Roman"/>
          <w:sz w:val="24"/>
          <w:szCs w:val="24"/>
        </w:rPr>
        <w:tab/>
      </w:r>
      <w:r w:rsidRPr="00637C8D">
        <w:rPr>
          <w:rFonts w:ascii="Times New Roman" w:hAnsi="Times New Roman"/>
          <w:sz w:val="24"/>
          <w:szCs w:val="24"/>
        </w:rPr>
        <w:tab/>
      </w:r>
      <w:r w:rsidRPr="00637C8D">
        <w:rPr>
          <w:rFonts w:ascii="Times New Roman" w:hAnsi="Times New Roman"/>
          <w:sz w:val="24"/>
          <w:szCs w:val="24"/>
        </w:rPr>
        <w:tab/>
        <w:t xml:space="preserve">                Н.В. Салтыкова</w:t>
      </w: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053DA1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6DF" w:rsidRPr="00637C8D" w:rsidRDefault="00C106DF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053DA1" w:rsidRPr="00637C8D" w:rsidRDefault="00053DA1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53DA1" w:rsidRPr="00637C8D" w:rsidRDefault="00053DA1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Малышевского муниципального образования</w:t>
      </w:r>
    </w:p>
    <w:p w:rsidR="00053DA1" w:rsidRPr="00637C8D" w:rsidRDefault="00C106DF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17.12.2021 № 32</w:t>
      </w:r>
      <w:r w:rsidR="00053DA1"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3DA1" w:rsidRPr="00637C8D" w:rsidRDefault="00053DA1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</w:t>
      </w:r>
    </w:p>
    <w:p w:rsidR="00053DA1" w:rsidRPr="00637C8D" w:rsidRDefault="00053DA1" w:rsidP="0063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осуществлении </w:t>
      </w:r>
    </w:p>
    <w:p w:rsidR="00053DA1" w:rsidRPr="00637C8D" w:rsidRDefault="00053DA1" w:rsidP="00C1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4259A8" w:rsidRPr="00637C8D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  <w:r w:rsidR="00C106DF" w:rsidRPr="00C10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106DF" w:rsidRPr="00C106DF">
        <w:rPr>
          <w:rFonts w:ascii="Times New Roman" w:hAnsi="Times New Roman" w:cs="Times New Roman"/>
          <w:b/>
          <w:color w:val="000000"/>
          <w:sz w:val="24"/>
          <w:szCs w:val="24"/>
        </w:rPr>
        <w:t>Малышевского муниципального образования</w:t>
      </w:r>
    </w:p>
    <w:p w:rsidR="00053DA1" w:rsidRPr="00637C8D" w:rsidRDefault="00053DA1" w:rsidP="0063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 xml:space="preserve">на 2022 год </w:t>
      </w:r>
    </w:p>
    <w:p w:rsidR="00CA5EB8" w:rsidRDefault="00CA5EB8" w:rsidP="00CA5EB8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49"/>
        <w:gridCol w:w="7796"/>
      </w:tblGrid>
      <w:tr w:rsidR="00CA5EB8" w:rsidRPr="006649CD" w:rsidTr="00CA5EB8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102C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границах населенных пунктов Малышевского муниципального образования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A5EB8" w:rsidRPr="006649CD" w:rsidTr="00CA5EB8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>
              <w:rPr>
                <w:rFonts w:ascii="PT Astra Serif" w:hAnsi="PT Astra Serif"/>
                <w:sz w:val="24"/>
                <w:szCs w:val="24"/>
              </w:rPr>
              <w:t>рации</w:t>
            </w:r>
          </w:p>
        </w:tc>
      </w:tr>
      <w:tr w:rsidR="00CA5EB8" w:rsidRPr="006649CD" w:rsidTr="00CA5EB8">
        <w:trPr>
          <w:trHeight w:val="489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Малышевского муниципального образования</w:t>
            </w:r>
          </w:p>
        </w:tc>
      </w:tr>
      <w:tr w:rsidR="00CA5EB8" w:rsidRPr="006649CD" w:rsidTr="00CA5EB8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A5EB8" w:rsidRPr="006649CD" w:rsidRDefault="00CA5EB8" w:rsidP="00CA5EB8">
            <w:pPr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A5EB8" w:rsidRPr="006649CD" w:rsidRDefault="00CA5EB8" w:rsidP="00CA5EB8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CA5EB8" w:rsidRPr="006649CD" w:rsidTr="00CA5EB8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A5EB8" w:rsidRPr="006649CD" w:rsidRDefault="00CA5EB8" w:rsidP="00CA5EB8">
            <w:pPr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A5EB8" w:rsidRPr="006649CD" w:rsidRDefault="00CA5EB8" w:rsidP="00CA5EB8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CA5EB8" w:rsidRPr="006649CD" w:rsidRDefault="00CA5EB8" w:rsidP="00CA5EB8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A5EB8" w:rsidRPr="006649CD" w:rsidTr="00CA5EB8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5EB8" w:rsidRPr="006649CD" w:rsidRDefault="00CA5EB8" w:rsidP="00CA5EB8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2659"/>
        <w:gridCol w:w="7037"/>
      </w:tblGrid>
      <w:tr w:rsidR="00CA5EB8" w:rsidRPr="006649CD" w:rsidTr="00CA5EB8">
        <w:trPr>
          <w:trHeight w:val="2358"/>
        </w:trPr>
        <w:tc>
          <w:tcPr>
            <w:tcW w:w="2659" w:type="dxa"/>
            <w:shd w:val="clear" w:color="auto" w:fill="auto"/>
          </w:tcPr>
          <w:p w:rsidR="00CA5EB8" w:rsidRPr="006649CD" w:rsidRDefault="00CA5EB8" w:rsidP="00CA5EB8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CA5EB8" w:rsidRPr="00294B57" w:rsidRDefault="00CA5EB8" w:rsidP="00CA5EB8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A5EB8" w:rsidRPr="00294B57" w:rsidRDefault="00CA5EB8" w:rsidP="00CA5EB8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CA5EB8" w:rsidRPr="00294B57" w:rsidRDefault="00CA5EB8" w:rsidP="00CA5EB8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CA5EB8" w:rsidRPr="00294B57" w:rsidRDefault="00CA5EB8" w:rsidP="00CA5EB8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CA5EB8" w:rsidRDefault="00CA5EB8" w:rsidP="00CA5EB8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A5EB8" w:rsidRPr="000E031B" w:rsidRDefault="00CA5EB8" w:rsidP="00CA5EB8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CA5EB8" w:rsidRPr="001B2AC2" w:rsidRDefault="00CA5EB8" w:rsidP="00CA5EB8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CA5EB8" w:rsidRPr="00403860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>
        <w:rPr>
          <w:rFonts w:ascii="PT Astra Serif" w:hAnsi="PT Astra Serif"/>
          <w:sz w:val="24"/>
          <w:szCs w:val="24"/>
        </w:rPr>
        <w:t xml:space="preserve"> </w:t>
      </w:r>
      <w:r w:rsidRPr="00E12514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CA5EB8" w:rsidRPr="00403860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CA5EB8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CA5EB8" w:rsidRPr="00B20E2C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1.2.  </w:t>
      </w:r>
      <w:r w:rsidRPr="00B20E2C">
        <w:rPr>
          <w:rFonts w:ascii="PT Astra Serif" w:hAnsi="PT Astra Serif"/>
          <w:sz w:val="24"/>
          <w:szCs w:val="24"/>
        </w:rPr>
        <w:t xml:space="preserve">Общая протяженность </w:t>
      </w:r>
      <w:r>
        <w:rPr>
          <w:rFonts w:ascii="PT Astra Serif" w:hAnsi="PT Astra Serif"/>
          <w:sz w:val="24"/>
          <w:szCs w:val="24"/>
        </w:rPr>
        <w:t xml:space="preserve">автомобильных </w:t>
      </w:r>
      <w:r w:rsidRPr="00B20E2C">
        <w:rPr>
          <w:rFonts w:ascii="PT Astra Serif" w:hAnsi="PT Astra Serif"/>
          <w:sz w:val="24"/>
          <w:szCs w:val="24"/>
        </w:rPr>
        <w:t xml:space="preserve">дорог </w:t>
      </w:r>
      <w:r>
        <w:rPr>
          <w:rFonts w:ascii="PT Astra Serif" w:hAnsi="PT Astra Serif"/>
          <w:sz w:val="24"/>
          <w:szCs w:val="24"/>
        </w:rPr>
        <w:t>местного  значения Малышевского муниципального образования составляет 24</w:t>
      </w:r>
      <w:r w:rsidRPr="00B20E2C">
        <w:rPr>
          <w:rFonts w:ascii="PT Astra Serif" w:hAnsi="PT Astra Serif"/>
          <w:sz w:val="24"/>
          <w:szCs w:val="24"/>
        </w:rPr>
        <w:t xml:space="preserve"> км, в том числе:</w:t>
      </w:r>
    </w:p>
    <w:p w:rsidR="00CA5EB8" w:rsidRPr="00B20E2C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с твердым покрытием 6</w:t>
      </w:r>
      <w:r w:rsidRPr="00B20E2C">
        <w:rPr>
          <w:rFonts w:ascii="PT Astra Serif" w:hAnsi="PT Astra Serif"/>
          <w:sz w:val="24"/>
          <w:szCs w:val="24"/>
        </w:rPr>
        <w:t xml:space="preserve"> км; </w:t>
      </w:r>
    </w:p>
    <w:p w:rsidR="00CA5EB8" w:rsidRPr="00B20E2C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грунтовые 19</w:t>
      </w:r>
      <w:r w:rsidRPr="00B20E2C">
        <w:rPr>
          <w:rFonts w:ascii="PT Astra Serif" w:hAnsi="PT Astra Serif"/>
          <w:sz w:val="24"/>
          <w:szCs w:val="24"/>
        </w:rPr>
        <w:t xml:space="preserve"> км.</w:t>
      </w:r>
    </w:p>
    <w:p w:rsidR="00CA5EB8" w:rsidRPr="00403860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>
        <w:rPr>
          <w:rFonts w:ascii="PT Astra Serif" w:hAnsi="PT Astra Serif"/>
          <w:sz w:val="24"/>
          <w:szCs w:val="24"/>
        </w:rPr>
        <w:t>:</w:t>
      </w:r>
    </w:p>
    <w:p w:rsidR="00CA5EB8" w:rsidRDefault="00CA5EB8" w:rsidP="00CA5EB8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2.1. </w:t>
      </w:r>
      <w:r>
        <w:rPr>
          <w:rFonts w:ascii="PT Astra Serif" w:hAnsi="PT Astra Serif"/>
          <w:sz w:val="24"/>
          <w:szCs w:val="24"/>
        </w:rPr>
        <w:t>к</w:t>
      </w:r>
      <w:r w:rsidRPr="00403860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>
        <w:rPr>
          <w:rFonts w:ascii="PT Astra Serif" w:hAnsi="PT Astra Serif"/>
          <w:sz w:val="24"/>
          <w:szCs w:val="24"/>
        </w:rPr>
        <w:t xml:space="preserve">транспорта </w:t>
      </w:r>
      <w:r w:rsidRPr="00403860">
        <w:rPr>
          <w:rFonts w:ascii="PT Astra Serif" w:hAnsi="PT Astra Serif"/>
          <w:sz w:val="24"/>
          <w:szCs w:val="24"/>
        </w:rPr>
        <w:t xml:space="preserve">относится </w:t>
      </w:r>
      <w:r>
        <w:rPr>
          <w:rFonts w:ascii="PT Astra Serif" w:hAnsi="PT Astra Serif"/>
          <w:sz w:val="24"/>
          <w:szCs w:val="24"/>
        </w:rPr>
        <w:t>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CA5EB8" w:rsidRPr="00B20E2C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2.2. В сфере дорожного хозяйства основной проблемой является несоответствие </w:t>
      </w:r>
      <w:r w:rsidRPr="0015339F">
        <w:rPr>
          <w:rFonts w:ascii="PT Astra Serif" w:hAnsi="PT Astra Serif"/>
          <w:sz w:val="24"/>
          <w:szCs w:val="24"/>
        </w:rPr>
        <w:t>нормативным треб</w:t>
      </w:r>
      <w:r>
        <w:rPr>
          <w:rFonts w:ascii="PT Astra Serif" w:hAnsi="PT Astra Serif"/>
          <w:sz w:val="24"/>
          <w:szCs w:val="24"/>
        </w:rPr>
        <w:t>ованиям автомобильных дорог местного значения</w:t>
      </w:r>
      <w:r w:rsidR="0037160E">
        <w:rPr>
          <w:rFonts w:ascii="PT Astra Serif" w:hAnsi="PT Astra Serif"/>
          <w:sz w:val="24"/>
          <w:szCs w:val="24"/>
        </w:rPr>
        <w:t>.</w:t>
      </w:r>
    </w:p>
    <w:p w:rsidR="00CA5EB8" w:rsidRDefault="00CA5EB8" w:rsidP="00CA5EB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EB8" w:rsidRPr="00E456F7" w:rsidRDefault="00CA5EB8" w:rsidP="00CA5EB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CA5EB8" w:rsidRPr="00E456F7" w:rsidRDefault="00CA5EB8" w:rsidP="00CA5EB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5EB8" w:rsidRPr="00E456F7" w:rsidRDefault="00CA5EB8" w:rsidP="00CA5EB8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5EB8" w:rsidRPr="00E456F7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CA5EB8" w:rsidRPr="00E456F7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CA5EB8" w:rsidRPr="00E456F7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нарушений обязательных требований; </w:t>
      </w:r>
    </w:p>
    <w:p w:rsidR="00CA5EB8" w:rsidRPr="00E456F7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CA5EB8" w:rsidRPr="00E456F7" w:rsidRDefault="00CA5EB8" w:rsidP="00CA5EB8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7"/>
        <w:tblpPr w:leftFromText="180" w:rightFromText="180" w:vertAnchor="text" w:horzAnchor="margin" w:tblpXSpec="center" w:tblpY="191"/>
        <w:tblW w:w="10031" w:type="dxa"/>
        <w:tblLayout w:type="fixed"/>
        <w:tblLook w:val="04A0"/>
      </w:tblPr>
      <w:tblGrid>
        <w:gridCol w:w="675"/>
        <w:gridCol w:w="4536"/>
        <w:gridCol w:w="2552"/>
        <w:gridCol w:w="2268"/>
      </w:tblGrid>
      <w:tr w:rsidR="00CA5EB8" w:rsidRPr="00E456F7" w:rsidTr="00CA5EB8">
        <w:tc>
          <w:tcPr>
            <w:tcW w:w="675" w:type="dxa"/>
          </w:tcPr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CA5EB8" w:rsidRPr="002F5702" w:rsidRDefault="002F5702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мероприятия</w:t>
            </w:r>
          </w:p>
          <w:p w:rsidR="00CA5EB8" w:rsidRPr="00E456F7" w:rsidRDefault="00CA5EB8" w:rsidP="00CA5EB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CA5EB8" w:rsidRPr="00E456F7" w:rsidTr="00CA5EB8">
        <w:tc>
          <w:tcPr>
            <w:tcW w:w="10031" w:type="dxa"/>
            <w:gridSpan w:val="4"/>
          </w:tcPr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CA5EB8" w:rsidRPr="00E456F7" w:rsidTr="00CA5EB8">
        <w:tc>
          <w:tcPr>
            <w:tcW w:w="675" w:type="dxa"/>
          </w:tcPr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Актуализация и размещение в сети «Интернет» н</w:t>
            </w:r>
            <w:r w:rsidR="0037160E">
              <w:rPr>
                <w:rFonts w:ascii="PT Astra Serif" w:eastAsia="Times New Roman" w:hAnsi="PT Astra Serif" w:cs="Times New Roman"/>
                <w:sz w:val="24"/>
                <w:szCs w:val="24"/>
              </w:rPr>
              <w:t>а официальном сайте администрации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CA5EB8" w:rsidRPr="000E031B" w:rsidRDefault="00CA5EB8" w:rsidP="00CA5EB8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Default="00CA5EB8" w:rsidP="00CA5EB8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Pr="00E456F7" w:rsidRDefault="00CA5EB8" w:rsidP="00CA5EB8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CA5EB8" w:rsidRPr="00E456F7" w:rsidRDefault="00CA5EB8" w:rsidP="00CA5EB8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CA5EB8" w:rsidRPr="00E456F7" w:rsidRDefault="0037160E" w:rsidP="00CA5EB8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 администрации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Pr="00E456F7" w:rsidRDefault="00CA5EB8" w:rsidP="00CA5EB8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CA5EB8" w:rsidRPr="00E456F7" w:rsidTr="00CA5EB8">
        <w:tc>
          <w:tcPr>
            <w:tcW w:w="10031" w:type="dxa"/>
            <w:gridSpan w:val="4"/>
          </w:tcPr>
          <w:p w:rsidR="00CA5EB8" w:rsidRPr="006649CD" w:rsidRDefault="0037160E" w:rsidP="00CA5EB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CA5EB8" w:rsidRPr="00962E01">
              <w:rPr>
                <w:rFonts w:ascii="PT Astra Serif" w:hAnsi="PT Astra Serif"/>
                <w:sz w:val="24"/>
                <w:szCs w:val="24"/>
              </w:rPr>
              <w:t>. Консультирование</w:t>
            </w:r>
          </w:p>
        </w:tc>
      </w:tr>
      <w:tr w:rsidR="00CA5EB8" w:rsidRPr="00E456F7" w:rsidTr="00CA5EB8">
        <w:tc>
          <w:tcPr>
            <w:tcW w:w="675" w:type="dxa"/>
          </w:tcPr>
          <w:p w:rsidR="00CA5EB8" w:rsidRPr="00E456F7" w:rsidRDefault="0037160E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="00CA5EB8">
              <w:rPr>
                <w:rFonts w:ascii="PT Astra Serif" w:eastAsia="Times New Roman" w:hAnsi="PT Astra Serif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CA5EB8" w:rsidRPr="007F4DEC" w:rsidRDefault="00CA5EB8" w:rsidP="00CA5EB8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осуществлением муниципального контроля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CA5EB8" w:rsidRPr="00962E01" w:rsidRDefault="00CA5EB8" w:rsidP="00CA5EB8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CA5EB8" w:rsidRPr="00962E01" w:rsidRDefault="00CA5EB8" w:rsidP="00CA5E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CA5EB8" w:rsidRPr="00962E01" w:rsidRDefault="00CA5EB8" w:rsidP="00CA5EB8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CA5EB8" w:rsidRPr="00962E01" w:rsidRDefault="00CA5EB8" w:rsidP="00CA5EB8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CA5EB8" w:rsidRPr="00962E01" w:rsidRDefault="00CA5EB8" w:rsidP="00CA5EB8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В форме устных и</w:t>
            </w: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CA5EB8" w:rsidRPr="006649CD" w:rsidRDefault="0037160E" w:rsidP="00CA5EB8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поселения, специалисты администрации</w:t>
            </w:r>
          </w:p>
        </w:tc>
      </w:tr>
    </w:tbl>
    <w:p w:rsidR="00CA5EB8" w:rsidRPr="00962E01" w:rsidRDefault="00CA5EB8" w:rsidP="00CA5EB8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CA5EB8" w:rsidRPr="00962E01" w:rsidRDefault="00CA5EB8" w:rsidP="00CA5EB8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lastRenderedPageBreak/>
        <w:t>5. Показатели результативности и эффективности программы профилактики рисков причинения вреда (ущерба)</w:t>
      </w:r>
    </w:p>
    <w:p w:rsidR="00CA5EB8" w:rsidRPr="006649CD" w:rsidRDefault="00CA5EB8" w:rsidP="00CA5EB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CA5EB8" w:rsidRPr="006649CD" w:rsidRDefault="00CA5EB8" w:rsidP="00CA5EB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CA5EB8" w:rsidRPr="006649CD" w:rsidRDefault="00CA5EB8" w:rsidP="00CA5EB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CA5EB8" w:rsidRPr="006649CD" w:rsidRDefault="00CA5EB8" w:rsidP="00CA5EB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развитию системы профилактических мероп</w:t>
      </w:r>
      <w:r w:rsidR="0037160E">
        <w:rPr>
          <w:rFonts w:ascii="PT Astra Serif" w:hAnsi="PT Astra Serif"/>
          <w:sz w:val="24"/>
          <w:szCs w:val="24"/>
        </w:rPr>
        <w:t>риятий, проводимых администрацией поселения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A5EB8" w:rsidRPr="00C102CF" w:rsidRDefault="00CA5EB8" w:rsidP="00CA5EB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p w:rsidR="00053DA1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A5EB8" w:rsidRPr="00637C8D" w:rsidRDefault="00CA5EB8" w:rsidP="00637C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CA5EB8" w:rsidRPr="00637C8D" w:rsidSect="00CA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C952E3"/>
    <w:multiLevelType w:val="hybridMultilevel"/>
    <w:tmpl w:val="8ACE8686"/>
    <w:lvl w:ilvl="0" w:tplc="02B2C4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3DA1"/>
    <w:rsid w:val="00053DA1"/>
    <w:rsid w:val="0012530C"/>
    <w:rsid w:val="00166BBD"/>
    <w:rsid w:val="00226B5D"/>
    <w:rsid w:val="002F5702"/>
    <w:rsid w:val="0037160E"/>
    <w:rsid w:val="00372B27"/>
    <w:rsid w:val="004259A8"/>
    <w:rsid w:val="00500F99"/>
    <w:rsid w:val="006264AB"/>
    <w:rsid w:val="00637C8D"/>
    <w:rsid w:val="00784394"/>
    <w:rsid w:val="008E61C6"/>
    <w:rsid w:val="00B25158"/>
    <w:rsid w:val="00C106DF"/>
    <w:rsid w:val="00C76F30"/>
    <w:rsid w:val="00CA5EB8"/>
    <w:rsid w:val="00CD796C"/>
    <w:rsid w:val="00D62345"/>
    <w:rsid w:val="00DE19FA"/>
    <w:rsid w:val="00E25812"/>
    <w:rsid w:val="00E40300"/>
    <w:rsid w:val="00E9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A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CD796C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D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53DA1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Абзац_пост"/>
    <w:basedOn w:val="a"/>
    <w:link w:val="a6"/>
    <w:rsid w:val="00053DA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Абзац_пост Знак"/>
    <w:link w:val="a5"/>
    <w:rsid w:val="00053DA1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7">
    <w:name w:val="Table Grid"/>
    <w:basedOn w:val="a1"/>
    <w:uiPriority w:val="59"/>
    <w:rsid w:val="0005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3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D796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39"/>
    <w:rsid w:val="00CD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D79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CD796C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D796C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CD796C"/>
    <w:pPr>
      <w:widowControl w:val="0"/>
      <w:autoSpaceDE w:val="0"/>
      <w:autoSpaceDN w:val="0"/>
      <w:spacing w:after="0" w:line="240" w:lineRule="auto"/>
      <w:ind w:left="258" w:right="165"/>
      <w:jc w:val="center"/>
    </w:pPr>
    <w:rPr>
      <w:rFonts w:ascii="Times New Roman" w:eastAsia="Times New Roman" w:hAnsi="Times New Roman" w:cs="Times New Roman"/>
      <w:sz w:val="36"/>
      <w:szCs w:val="36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CD796C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D796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4DA14-F846-4631-8E98-A96E846F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15</cp:revision>
  <cp:lastPrinted>2021-12-30T03:25:00Z</cp:lastPrinted>
  <dcterms:created xsi:type="dcterms:W3CDTF">2021-12-27T08:21:00Z</dcterms:created>
  <dcterms:modified xsi:type="dcterms:W3CDTF">2022-01-11T04:15:00Z</dcterms:modified>
</cp:coreProperties>
</file>