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0D" w:rsidRPr="00EF4F0D" w:rsidRDefault="00EF4F0D" w:rsidP="00EF4F0D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225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Учетная</w:t>
      </w:r>
      <w:r w:rsidRPr="003225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225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политика</w:t>
      </w:r>
      <w:r w:rsidRPr="003225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225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</w:t>
      </w:r>
      <w:r w:rsidRPr="003225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225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целей</w:t>
      </w:r>
      <w:r w:rsidRPr="003225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225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бюджетного</w:t>
      </w:r>
      <w:r w:rsidRPr="003225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225F2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учета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администрации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Малышевского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сельского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поселения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Малышевского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Default="00EF4F0D" w:rsidP="00EF4F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01.12.2010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академий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наук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157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F4F0D" w:rsidRDefault="00EF4F0D" w:rsidP="00EF4F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Инструкция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№ </w:t>
      </w:r>
      <w:r>
        <w:rPr>
          <w:rFonts w:hAnsi="Times New Roman" w:cs="Times New Roman"/>
          <w:color w:val="000000"/>
          <w:sz w:val="24"/>
          <w:szCs w:val="24"/>
        </w:rPr>
        <w:t>162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F4F0D" w:rsidRPr="0071074B" w:rsidRDefault="00EF4F0D" w:rsidP="00EF4F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06.06.2019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кодов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назначения»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85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F4F0D" w:rsidRPr="0071074B" w:rsidRDefault="00EF4F0D" w:rsidP="00EF4F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29.11.2017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209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209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F4F0D" w:rsidRDefault="00EF4F0D" w:rsidP="00EF4F0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применяемых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местного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самоуправления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муниципальными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применению»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далее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52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F4F0D" w:rsidRPr="0071074B" w:rsidRDefault="00EF4F0D" w:rsidP="00EF4F0D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31.12.2016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256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257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258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259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260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«Аренда»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«Обесценение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активов»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«Представление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30.12.2017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274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275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277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278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«События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даты»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«Информация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сторонах»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«Отчет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27.02.2018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«Доходы»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28.02.2018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30.05.2018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122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124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«Влияние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валют»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«Резервы»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07.12.2018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256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29.06.2018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145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«Долгосрочные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договоры»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15.11.2019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181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182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183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184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соответственно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proofErr w:type="gram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заимствованиям»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«Совместная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деятельность»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«Выплаты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персоналу»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129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«Финансовые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инструменты»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EF4F0D" w:rsidRDefault="00EF4F0D" w:rsidP="00EF4F0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Используемые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сокращения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6"/>
        <w:gridCol w:w="7749"/>
      </w:tblGrid>
      <w:tr w:rsidR="00EF4F0D" w:rsidTr="007C42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0D" w:rsidRDefault="00EF4F0D" w:rsidP="007C429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0D" w:rsidRDefault="00EF4F0D" w:rsidP="007C429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Расшифровка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F4F0D" w:rsidRPr="00EF4F0D" w:rsidTr="007C42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0D" w:rsidRDefault="00EF4F0D" w:rsidP="007C429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Учреждение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0D" w:rsidRPr="003225F2" w:rsidRDefault="00EF4F0D" w:rsidP="007C42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Малышевского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сельского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Удинского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района</w:t>
            </w:r>
          </w:p>
        </w:tc>
      </w:tr>
      <w:tr w:rsidR="00EF4F0D" w:rsidRPr="00EF4F0D" w:rsidTr="007C42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0D" w:rsidRDefault="00EF4F0D" w:rsidP="007C429D">
            <w:r>
              <w:rPr>
                <w:rFonts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0D" w:rsidRPr="0071074B" w:rsidRDefault="00EF4F0D" w:rsidP="007C429D">
            <w:pPr>
              <w:rPr>
                <w:lang w:val="ru-RU"/>
              </w:rPr>
            </w:pP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17-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разряды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номера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Рабочим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счетов</w:t>
            </w:r>
          </w:p>
        </w:tc>
      </w:tr>
      <w:tr w:rsidR="00EF4F0D" w:rsidRPr="00EF4F0D" w:rsidTr="007C42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0D" w:rsidRDefault="00EF4F0D" w:rsidP="007C429D">
            <w:r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0D" w:rsidRPr="0071074B" w:rsidRDefault="00EF4F0D" w:rsidP="007C429D">
            <w:pPr>
              <w:rPr>
                <w:lang w:val="ru-RU"/>
              </w:rPr>
            </w:pP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26-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разряд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соответствующая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подстатья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7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КОСГУ</w:t>
            </w:r>
          </w:p>
        </w:tc>
      </w:tr>
    </w:tbl>
    <w:p w:rsidR="00EF4F0D" w:rsidRPr="0071074B" w:rsidRDefault="00EF4F0D" w:rsidP="00EF4F0D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3225F2">
        <w:rPr>
          <w:b/>
          <w:bCs/>
          <w:color w:val="252525"/>
          <w:spacing w:val="-2"/>
          <w:sz w:val="32"/>
          <w:szCs w:val="32"/>
        </w:rPr>
        <w:t> I</w:t>
      </w:r>
      <w:r w:rsidRPr="003225F2">
        <w:rPr>
          <w:b/>
          <w:bCs/>
          <w:color w:val="252525"/>
          <w:spacing w:val="-2"/>
          <w:sz w:val="32"/>
          <w:szCs w:val="32"/>
          <w:lang w:val="ru-RU"/>
        </w:rPr>
        <w:t>.</w:t>
      </w:r>
      <w:r w:rsidRPr="003225F2">
        <w:rPr>
          <w:b/>
          <w:bCs/>
          <w:color w:val="252525"/>
          <w:spacing w:val="-2"/>
          <w:sz w:val="32"/>
          <w:szCs w:val="32"/>
        </w:rPr>
        <w:t> </w:t>
      </w:r>
      <w:r w:rsidRPr="003225F2">
        <w:rPr>
          <w:b/>
          <w:bCs/>
          <w:color w:val="252525"/>
          <w:spacing w:val="-2"/>
          <w:sz w:val="32"/>
          <w:szCs w:val="32"/>
          <w:lang w:val="ru-RU"/>
        </w:rPr>
        <w:t>Общие</w:t>
      </w:r>
      <w:r w:rsidRPr="003225F2">
        <w:rPr>
          <w:b/>
          <w:bCs/>
          <w:color w:val="252525"/>
          <w:spacing w:val="-2"/>
          <w:sz w:val="32"/>
          <w:szCs w:val="32"/>
        </w:rPr>
        <w:t> </w:t>
      </w:r>
      <w:r w:rsidRPr="003225F2">
        <w:rPr>
          <w:b/>
          <w:bCs/>
          <w:color w:val="252525"/>
          <w:spacing w:val="-2"/>
          <w:sz w:val="32"/>
          <w:szCs w:val="32"/>
          <w:lang w:val="ru-RU"/>
        </w:rPr>
        <w:t>положения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структурное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подразделение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руководствуются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инструкциями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специалис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4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322E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</w:t>
      </w:r>
      <w:r w:rsidRPr="002322E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F4F0D" w:rsidRPr="004241B4" w:rsidRDefault="00EF4F0D" w:rsidP="00EF4F0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инвентаризационная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322E0">
        <w:rPr>
          <w:rFonts w:hAnsi="Times New Roman" w:cs="Times New Roman"/>
          <w:b/>
          <w:color w:val="000000"/>
          <w:sz w:val="24"/>
          <w:szCs w:val="24"/>
        </w:rPr>
        <w:t>приложение</w:t>
      </w:r>
      <w:proofErr w:type="spellEnd"/>
      <w:r w:rsidRPr="002322E0">
        <w:rPr>
          <w:rFonts w:hAnsi="Times New Roman" w:cs="Times New Roman"/>
          <w:b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4241B4" w:rsidRDefault="00EF4F0D" w:rsidP="00EF4F0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публикует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учетную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оценивает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сопоставления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существенность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отражающих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движение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существенность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раскрытии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lang w:val="ru-RU"/>
        </w:rPr>
        <w:br/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Пояснениях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существенных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ошибках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17, 20, 32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4241B4" w:rsidRDefault="00EF4F0D" w:rsidP="00EF4F0D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4241B4">
        <w:rPr>
          <w:b/>
          <w:bCs/>
          <w:color w:val="252525"/>
          <w:spacing w:val="-2"/>
          <w:sz w:val="32"/>
          <w:szCs w:val="32"/>
        </w:rPr>
        <w:t>II</w:t>
      </w:r>
      <w:r w:rsidRPr="004241B4">
        <w:rPr>
          <w:b/>
          <w:bCs/>
          <w:color w:val="252525"/>
          <w:spacing w:val="-2"/>
          <w:sz w:val="32"/>
          <w:szCs w:val="32"/>
          <w:lang w:val="ru-RU"/>
        </w:rPr>
        <w:t>. Технология обработки учетной информации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программных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«Бухгалтерия»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71074B">
        <w:rPr>
          <w:lang w:val="ru-RU"/>
        </w:rPr>
        <w:br/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каналов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4241B4" w:rsidRDefault="00EF4F0D" w:rsidP="00EF4F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система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территориальным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казначейства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Default="00EF4F0D" w:rsidP="00EF4F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налогам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сборам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обязательным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инспекцию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Федеральной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F0D" w:rsidRPr="0071074B" w:rsidRDefault="00EF4F0D" w:rsidP="00EF4F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отделение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Пенсионного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Default="00EF4F0D" w:rsidP="00EF4F0D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bus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gov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4241B4" w:rsidRDefault="00EF4F0D" w:rsidP="00EF4F0D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надлежащего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сводных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исправления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добавление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базах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сервере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ежедневно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сохранение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резервных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«Бухгалтерия»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квартала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базы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внешний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носитель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сформированные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распечатываются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бумажный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носитель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подшиваются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папки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33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4241B4" w:rsidRDefault="00EF4F0D" w:rsidP="00EF4F0D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4241B4">
        <w:rPr>
          <w:b/>
          <w:bCs/>
          <w:color w:val="252525"/>
          <w:spacing w:val="-2"/>
          <w:sz w:val="32"/>
          <w:szCs w:val="32"/>
        </w:rPr>
        <w:t>III</w:t>
      </w:r>
      <w:r w:rsidRPr="004241B4">
        <w:rPr>
          <w:b/>
          <w:bCs/>
          <w:color w:val="252525"/>
          <w:spacing w:val="-2"/>
          <w:sz w:val="32"/>
          <w:szCs w:val="32"/>
          <w:lang w:val="ru-RU"/>
        </w:rPr>
        <w:t>. Правила документооборота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4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1074B">
        <w:rPr>
          <w:lang w:val="ru-RU"/>
        </w:rPr>
        <w:br/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22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типовые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разработанные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7F1BAE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11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дополненные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реквизитами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26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предоставлено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занимающим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перечисленные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Пофамильный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1074B">
        <w:rPr>
          <w:lang w:val="ru-RU"/>
        </w:rPr>
        <w:br/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унифицированные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перечисленные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 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к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приказу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52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унифицированы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2F618F" w:rsidRDefault="00EF4F0D" w:rsidP="00EF4F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систематизируются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сводные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датам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</w:p>
    <w:p w:rsidR="00EF4F0D" w:rsidRPr="002F618F" w:rsidRDefault="00EF4F0D" w:rsidP="00EF4F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приходных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ордеров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консервации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выбытии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начисленной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карточка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группового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модернизации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реконструкции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консервации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выбытии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2F618F" w:rsidRDefault="00EF4F0D" w:rsidP="00EF4F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карточек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главная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выше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заполняются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11, 167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довольствию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стипендиям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0504071)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кодам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1.302.11.000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плате»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1.302.13.000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начислениям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труда»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A90A58" w:rsidRDefault="00EF4F0D" w:rsidP="00EF4F0D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1.302.12.000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несоциальным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1.302.14.000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несоциальным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натуральной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форме»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1.302.96.000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лицам»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257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Журналам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присваиваются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приложению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10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главным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составившим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0504071)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раздельно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кодам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ежемесячно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журналам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прилагаются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приложению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15.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сводные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подписанного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заверен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собственноручной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06.04.2011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63-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32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EF4F0D" w:rsidRPr="0071074B" w:rsidRDefault="00EF4F0D" w:rsidP="00EF4F0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Default="00EF4F0D" w:rsidP="00EF4F0D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                                                          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896C3E" w:rsidRDefault="00EF4F0D" w:rsidP="00EF4F0D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приобретения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337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приобретении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 0504101).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неисправность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выявлена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монтаже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дефектах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-16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0306008).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Табеле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0504421)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регистрируются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случаи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нормального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графах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37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итоговые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неявок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0504421)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условными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обозначениями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72"/>
        <w:gridCol w:w="1417"/>
      </w:tblGrid>
      <w:tr w:rsidR="00EF4F0D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Default="00EF4F0D" w:rsidP="007C429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Default="00EF4F0D" w:rsidP="007C429D">
            <w:pPr>
              <w:jc w:val="center"/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  <w:proofErr w:type="spellEnd"/>
          </w:p>
        </w:tc>
      </w:tr>
      <w:tr w:rsidR="00EF4F0D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6F76C2" w:rsidRDefault="00EF4F0D" w:rsidP="007C429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jc w:val="center"/>
              <w:rPr>
                <w:b/>
                <w:lang w:val="ru-RU"/>
              </w:rPr>
            </w:pPr>
            <w:r w:rsidRPr="0003616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</w:t>
            </w:r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t>Выходные и нерабочие праздничные дни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71074B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t>Работа в ночное время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71074B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Очередные и дополнительные отпуска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</w:t>
            </w:r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0D" w:rsidRPr="00036162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t>Временная нетрудоспособность по беременности и родам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4F0D" w:rsidRPr="0071074B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t>Отпуск по уходу за ребенком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</w:t>
            </w:r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t>Прогулы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t>Неявки по невыясненным причинам (до выяснения обстоятельств)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НН</w:t>
            </w:r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t>Учебный дополнительный отпуск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ОУ</w:t>
            </w:r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t>Работа в выходные и нерабочие праздничные дни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РП</w:t>
            </w:r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t>Служебные командировки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t>Неоплачиваемые рабочие дни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НОД</w:t>
            </w:r>
          </w:p>
        </w:tc>
      </w:tr>
      <w:tr w:rsidR="00EF4F0D" w:rsidRPr="00036162" w:rsidTr="007C429D"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rPr>
                <w:lang w:val="ru-RU"/>
              </w:rPr>
            </w:pPr>
            <w:r>
              <w:rPr>
                <w:lang w:val="ru-RU"/>
              </w:rPr>
              <w:t>Выполнение государственных обязанностей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4F0D" w:rsidRPr="00036162" w:rsidRDefault="00EF4F0D" w:rsidP="007C429D">
            <w:pPr>
              <w:ind w:left="75" w:right="75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Расширено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буквенного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сдачей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крови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отсутствовал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военкомат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военные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сборы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вызову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госорганы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свидетеля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0504402)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Платежной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 0504403).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удаленный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разрешается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почте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proofErr w:type="spellEnd"/>
      <w:proofErr w:type="gram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изготавливается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направляется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согласование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документооборота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Согласованием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возврат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получателя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отправителю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копией</w:t>
      </w:r>
      <w:proofErr w:type="spellEnd"/>
      <w:proofErr w:type="gram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подписанного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окончания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удаленной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оформленные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скан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копий</w:t>
      </w:r>
      <w:proofErr w:type="spellEnd"/>
      <w:proofErr w:type="gram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распечатываются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бумажном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носителе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собственноручной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листков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листок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вторую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половину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57292C" w:rsidRDefault="00EF4F0D" w:rsidP="00EF4F0D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57292C">
        <w:rPr>
          <w:b/>
          <w:bCs/>
          <w:color w:val="252525"/>
          <w:spacing w:val="-2"/>
          <w:sz w:val="32"/>
          <w:szCs w:val="32"/>
        </w:rPr>
        <w:t>IV</w:t>
      </w:r>
      <w:r w:rsidRPr="0057292C">
        <w:rPr>
          <w:b/>
          <w:bCs/>
          <w:color w:val="252525"/>
          <w:spacing w:val="-2"/>
          <w:sz w:val="32"/>
          <w:szCs w:val="32"/>
          <w:lang w:val="ru-RU"/>
        </w:rPr>
        <w:t>. План счетов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</w:t>
      </w:r>
      <w:r w:rsidRPr="007F1BAE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6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разработанного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забалансовые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0D40A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>6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332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9B1CC7" w:rsidRDefault="00EF4F0D" w:rsidP="00EF4F0D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9B1CC7">
        <w:rPr>
          <w:b/>
          <w:bCs/>
          <w:color w:val="252525"/>
          <w:spacing w:val="-2"/>
          <w:sz w:val="32"/>
          <w:szCs w:val="32"/>
        </w:rPr>
        <w:t>V</w:t>
      </w:r>
      <w:r w:rsidRPr="009B1CC7">
        <w:rPr>
          <w:b/>
          <w:bCs/>
          <w:color w:val="252525"/>
          <w:spacing w:val="-2"/>
          <w:sz w:val="32"/>
          <w:szCs w:val="32"/>
          <w:lang w:val="ru-RU"/>
        </w:rPr>
        <w:t>. Методика ведения бухгалтерского учета, оценки отдельных видов имущества и обязательств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проверены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1074B">
        <w:rPr>
          <w:lang w:val="ru-RU"/>
        </w:rPr>
        <w:br/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23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стандартах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регулирующих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активов»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1074B">
        <w:rPr>
          <w:lang w:val="ru-RU"/>
        </w:rPr>
        <w:br/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54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необходимого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суждением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1074B">
        <w:rPr>
          <w:lang w:val="ru-RU"/>
        </w:rPr>
        <w:br/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средства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«Инвентарь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хозяйственный»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0D40A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>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4603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D746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746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4603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признаваемый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объединяются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несущественной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одинаковые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ожидаемого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Default="00EF4F0D" w:rsidP="00EF4F0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F0D" w:rsidRPr="0071074B" w:rsidRDefault="00EF4F0D" w:rsidP="00EF4F0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мебель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столы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стулья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стеллажи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шкафы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Default="00EF4F0D" w:rsidP="00EF4F0D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компьютерное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периферийное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системные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блоки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мониторы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компьютерные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мыши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клавиатуры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принтеры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сканеры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колонки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акустические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микрофоны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внешние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накопители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жестких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дисках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EF4F0D" w:rsidRPr="00C117D7" w:rsidRDefault="00EF4F0D" w:rsidP="00EF4F0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считается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существенной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000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имущественный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объединения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конкретный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объединяемых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Уникальный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десяти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знаков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присваивается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D61A0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разряд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амортизационная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отнесен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отнесении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10-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амортизационной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данном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разряде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проставляется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F4F0D" w:rsidRPr="0071074B" w:rsidRDefault="00EF4F0D" w:rsidP="00EF4F0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F4F0D" w:rsidRPr="0071074B" w:rsidRDefault="00EF4F0D" w:rsidP="00EF4F0D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162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EF4F0D" w:rsidRPr="0071074B" w:rsidRDefault="00EF4F0D" w:rsidP="00EF4F0D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10-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разряды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порядковый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нефинансового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46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Присвоенный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обозначается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нанесения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краской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водостойким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маркером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сложным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комплексом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конструктивно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сочлененных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обозначается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составляющем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элементе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сложном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Default="00EF4F0D" w:rsidP="00EF4F0D">
      <w:pPr>
        <w:rPr>
          <w:rFonts w:hAnsi="Times New Roman" w:cs="Times New Roman"/>
          <w:color w:val="000000"/>
          <w:sz w:val="24"/>
          <w:szCs w:val="24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Затраты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замене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конструктивно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сочлененных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капитальном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заменяемых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выбываемых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применяется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F4F0D" w:rsidRDefault="00EF4F0D" w:rsidP="00EF4F0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машины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F0D" w:rsidRDefault="00EF4F0D" w:rsidP="00EF4F0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F0D" w:rsidRPr="00C117D7" w:rsidRDefault="00EF4F0D" w:rsidP="00EF4F0D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инвентарь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хозяйственный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F0D" w:rsidRPr="00C117D7" w:rsidRDefault="00EF4F0D" w:rsidP="00EF4F0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27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Default="00EF4F0D" w:rsidP="00EF4F0D">
      <w:pPr>
        <w:rPr>
          <w:rFonts w:hAnsi="Times New Roman" w:cs="Times New Roman"/>
          <w:color w:val="000000"/>
          <w:sz w:val="24"/>
          <w:szCs w:val="24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частичной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разукомплектации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ликвидируемых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разукомплектованных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выделена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следующему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убывания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EF4F0D" w:rsidRDefault="00EF4F0D" w:rsidP="00EF4F0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площади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F0D" w:rsidRDefault="00EF4F0D" w:rsidP="00EF4F0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F0D" w:rsidRDefault="00EF4F0D" w:rsidP="00EF4F0D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F0D" w:rsidRPr="0071074B" w:rsidRDefault="00EF4F0D" w:rsidP="00EF4F0D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показателю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36, 37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proofErr w:type="gram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одинаковые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объединяет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40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переоценке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накопленная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пересчитывается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первоначальной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остаточная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равнялась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переоцененной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балансовая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накопленная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амортизация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увеличиваются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умножаются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одинаковый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коэффициент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суммировании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переоцененную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переоценки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41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35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1074B">
        <w:rPr>
          <w:lang w:val="ru-RU"/>
        </w:rPr>
        <w:br/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</w:t>
      </w:r>
      <w:r w:rsidRPr="000D40A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стоимостью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000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включительно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находящиеся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балансовой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373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Локально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вычислительная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сеть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ЛВС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охранно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пожарная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сигнализация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ЛВС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ЛВС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одинаковый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полезного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2.2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раздела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распределяются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первоначальную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договоре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поставки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содержатся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дополнительном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43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«Имущество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переданное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аренды»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D74603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2.15.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закреплены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производитель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поставщик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предусмотрел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хранит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гарантийные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талоны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Нематериальные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активы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Начисление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амортизации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линейным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30, 31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44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«Нематериальные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Материальные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запасы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учитывает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98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99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хозяйственный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0D40A0">
        <w:rPr>
          <w:rFonts w:hAnsi="Times New Roman" w:cs="Times New Roman"/>
          <w:b/>
          <w:color w:val="000000"/>
          <w:sz w:val="24"/>
          <w:szCs w:val="24"/>
        </w:rPr>
        <w:t> 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>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Default="00EF4F0D" w:rsidP="00EF4F0D">
      <w:pPr>
        <w:rPr>
          <w:rFonts w:hAnsi="Times New Roman" w:cs="Times New Roman"/>
          <w:color w:val="000000"/>
          <w:sz w:val="24"/>
          <w:szCs w:val="24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номенклатурная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Исключения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F4F0D" w:rsidRDefault="00EF4F0D" w:rsidP="00EF4F0D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совпадают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офисная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бумага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одинаковым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листов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пачке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кнопки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канцелярские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одинаковыми</w:t>
      </w:r>
      <w:proofErr w:type="gram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диаметром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количеством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штук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коробке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однородная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D74603" w:rsidRDefault="00EF4F0D" w:rsidP="00EF4F0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единиц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«однородная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реестровая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«Запасы»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фактической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1074B">
        <w:rPr>
          <w:lang w:val="ru-RU"/>
        </w:rPr>
        <w:br/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108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зимней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надбавки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нормам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ГСМ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величина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ГСМ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путевых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листов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4.5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канцелярских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принадлежностей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Ведомостью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нужды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0504210).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ведомость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Мягкий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хозяйственный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мягкого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хозяйственного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 0504143).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остальных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 0504230).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4.7. 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«Запасные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транспортным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взамен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изношенных»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условной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шт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комплектующие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автомобилях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нетипизированные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запчасти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комплектующие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proofErr w:type="gramEnd"/>
    </w:p>
    <w:p w:rsidR="00EF4F0D" w:rsidRPr="00D12748" w:rsidRDefault="00EF4F0D" w:rsidP="00EF4F0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автомобильные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шины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единицы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легковой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аккумуляторы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наборы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автоинструмента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Default="00EF4F0D" w:rsidP="00EF4F0D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огнетушители–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proofErr w:type="gram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единица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D12748" w:rsidRDefault="00EF4F0D" w:rsidP="00EF4F0D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Аналитический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автомобилей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Внутреннее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перемещение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автомобиль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автомобилем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Default="00EF4F0D" w:rsidP="00EF4F0D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Выбытие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09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отражается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F4F0D" w:rsidRPr="0071074B" w:rsidRDefault="00EF4F0D" w:rsidP="00EF4F0D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автомобиля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запчастей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взамен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непригодных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349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350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Фактическая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разборки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утилизации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справедливой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рассчитанной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методом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уплачиваемых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приведение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пригодное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D12748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60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4.9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закупку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одноразовых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многоразовых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масок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подстатью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КОСГУ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346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«Увеличение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стоимости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прочих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запасов»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Одноразовые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маски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105.36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«Прочие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запасы»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Расчеты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подотчетными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лицами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согласованно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>Выдача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D12748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перечисления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расчетно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дебетовую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карту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штатным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суммам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проходят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Предельная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размере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000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двадцать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тысяч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руб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исключительных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увеличена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лимита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наличными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юридическими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Центрального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ЦБ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09.12.2019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5348-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.4.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выдачу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отчитаться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возмещаются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02.10.2002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729.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Возмещение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командировки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превышающих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экономии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фактическим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разрешения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оформленного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2, 3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02.10.2002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729.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командировок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возмещения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командировочных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8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.6.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Предельные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доверенностям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Default="00EF4F0D" w:rsidP="00EF4F0D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D28D3" w:rsidRDefault="00EF4F0D" w:rsidP="00EF4F0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выдаются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штатным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заключен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.7.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Авансовые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брошюруются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хронологическом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Расчеты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обязательствам</w:t>
      </w:r>
    </w:p>
    <w:p w:rsidR="00EF4F0D" w:rsidRPr="009D64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1.303.05.000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«Расчеты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прочим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применяются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аналитические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9D644B" w:rsidRDefault="00EF4F0D" w:rsidP="00EF4F0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налог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КБК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.303.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5.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291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F4F0D" w:rsidRPr="009D644B" w:rsidRDefault="00EF4F0D" w:rsidP="00EF4F0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2 -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«Пени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штрафы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санкции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налоговым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платежам»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.303.35.000);</w:t>
      </w:r>
    </w:p>
    <w:p w:rsidR="00EF4F0D" w:rsidRDefault="00EF4F0D" w:rsidP="00EF4F0D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D644B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«Ежегодные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членские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взносы»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КБК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.303.05.297).</w:t>
      </w:r>
      <w:r w:rsidRPr="009D64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F4F0D" w:rsidRPr="001A2914" w:rsidRDefault="00EF4F0D" w:rsidP="00EF4F0D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Аналитический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пособиям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социальным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получателей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выплат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.3.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Аналитический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оплате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заключены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Дебиторская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кредиторская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задолженность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Дебиторская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поступлению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выбытию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признает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339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«Доходы»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востребованная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кредитором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признании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невостребованной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Одновременно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списанная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балансового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20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«Задолженность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востребованная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кредиторами»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забалансового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истечении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отражения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забалансовом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завершении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возможного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возобновления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proofErr w:type="gram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действующему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Default="00EF4F0D" w:rsidP="00EF4F0D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смертью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ликвидацией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контрагента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Кредиторская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списывается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баланса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обязательству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кредитору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371, 372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Финансовый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</w:t>
      </w:r>
    </w:p>
    <w:p w:rsidR="00EF4F0D" w:rsidRPr="00E64F91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текущий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E64F91" w:rsidRDefault="00EF4F0D" w:rsidP="00EF4F0D">
      <w:pPr>
        <w:numPr>
          <w:ilvl w:val="0"/>
          <w:numId w:val="2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междугородные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переговоры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доступу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интернету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расходу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E64F91" w:rsidRDefault="00EF4F0D" w:rsidP="00EF4F0D">
      <w:pPr>
        <w:numPr>
          <w:ilvl w:val="0"/>
          <w:numId w:val="2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коммунальные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расходу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расходу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E64F91" w:rsidRDefault="00EF4F0D" w:rsidP="00EF4F0D">
      <w:pPr>
        <w:numPr>
          <w:ilvl w:val="0"/>
          <w:numId w:val="2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расходу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E64F91" w:rsidRDefault="00EF4F0D" w:rsidP="00EF4F0D">
      <w:pPr>
        <w:numPr>
          <w:ilvl w:val="0"/>
          <w:numId w:val="2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аренду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расходу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Default="00EF4F0D" w:rsidP="00EF4F0D">
      <w:pPr>
        <w:numPr>
          <w:ilvl w:val="0"/>
          <w:numId w:val="24"/>
        </w:numPr>
        <w:ind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автострахование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фактическому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4F91">
        <w:rPr>
          <w:rFonts w:hAnsi="Times New Roman" w:cs="Times New Roman"/>
          <w:color w:val="000000"/>
          <w:sz w:val="24"/>
          <w:szCs w:val="24"/>
          <w:lang w:val="ru-RU"/>
        </w:rPr>
        <w:t>расходу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BE5B9F" w:rsidRDefault="00EF4F0D" w:rsidP="00EF4F0D">
      <w:pPr>
        <w:ind w:left="7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резервы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8.2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Резерв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выплатам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персоналу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14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302, 302.1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157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7, 21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«Резервы»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Санкционирование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расходов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лимитов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приведенном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9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Представительские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расходы</w:t>
      </w:r>
    </w:p>
    <w:p w:rsidR="00EF4F0D" w:rsidRDefault="00EF4F0D" w:rsidP="00EF4F0D">
      <w:pPr>
        <w:rPr>
          <w:rFonts w:hAnsi="Times New Roman" w:cs="Times New Roman"/>
          <w:color w:val="000000"/>
          <w:sz w:val="24"/>
          <w:szCs w:val="24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официальным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обслуживанием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участвующих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переговорах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сотрудничества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опытом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расходы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F4F0D" w:rsidRPr="0071074B" w:rsidRDefault="00EF4F0D" w:rsidP="00EF4F0D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официальный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завтрак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обед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аналогичное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буфетное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обслуживание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питьевой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напитками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Default="00EF4F0D" w:rsidP="00EF4F0D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участников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канцелярскими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принадлежностями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F0D" w:rsidRPr="0071074B" w:rsidRDefault="00EF4F0D" w:rsidP="00EF4F0D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транспортное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доставки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обратно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.2.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подтверждающими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обоснованность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F4F0D" w:rsidRPr="0071074B" w:rsidRDefault="00EF4F0D" w:rsidP="00EF4F0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смета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представительских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составленный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мероприятие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662EEC" w:rsidRDefault="00EF4F0D" w:rsidP="00EF4F0D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первичные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произведенных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662EEC" w:rsidRDefault="00EF4F0D" w:rsidP="00EF4F0D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662EEC">
        <w:rPr>
          <w:b/>
          <w:bCs/>
          <w:color w:val="252525"/>
          <w:spacing w:val="-2"/>
          <w:sz w:val="32"/>
          <w:szCs w:val="32"/>
        </w:rPr>
        <w:t>VI</w:t>
      </w:r>
      <w:r w:rsidRPr="00662EEC">
        <w:rPr>
          <w:b/>
          <w:bCs/>
          <w:color w:val="252525"/>
          <w:spacing w:val="-2"/>
          <w:sz w:val="32"/>
          <w:szCs w:val="32"/>
          <w:lang w:val="ru-RU"/>
        </w:rPr>
        <w:t>. Инвентаризация имущества и обязательств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Инвентаризацию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числящихся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действующая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приведены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приложении</w:t>
      </w:r>
      <w:r w:rsidRPr="000D40A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13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хищения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стихийных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бедствиях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инвентаризацию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созданная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отельным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статья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VIII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СГС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1D00B1" w:rsidRDefault="00EF4F0D" w:rsidP="00EF4F0D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1D00B1">
        <w:rPr>
          <w:b/>
          <w:bCs/>
          <w:color w:val="252525"/>
          <w:spacing w:val="-2"/>
          <w:sz w:val="32"/>
          <w:szCs w:val="32"/>
        </w:rPr>
        <w:lastRenderedPageBreak/>
        <w:t>VII</w:t>
      </w:r>
      <w:r w:rsidRPr="001D00B1">
        <w:rPr>
          <w:b/>
          <w:bCs/>
          <w:color w:val="252525"/>
          <w:spacing w:val="-2"/>
          <w:sz w:val="32"/>
          <w:szCs w:val="32"/>
          <w:lang w:val="ru-RU"/>
        </w:rPr>
        <w:t>. Порядок организации и обеспечения внутреннего финансового контроля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Внутренний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финансовый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Удинский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20.12.2021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правоотношений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99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05.04.2013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44-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нужд»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EF4F0D" w:rsidRPr="001D00B1" w:rsidRDefault="00EF4F0D" w:rsidP="00EF4F0D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1D00B1">
        <w:rPr>
          <w:b/>
          <w:bCs/>
          <w:color w:val="252525"/>
          <w:spacing w:val="-2"/>
          <w:sz w:val="32"/>
          <w:szCs w:val="32"/>
        </w:rPr>
        <w:t>VIII</w:t>
      </w:r>
      <w:r w:rsidRPr="001D00B1">
        <w:rPr>
          <w:b/>
          <w:bCs/>
          <w:color w:val="252525"/>
          <w:spacing w:val="-2"/>
          <w:sz w:val="32"/>
          <w:szCs w:val="32"/>
          <w:lang w:val="ru-RU"/>
        </w:rPr>
        <w:t>. Бухгалтерская (финансовая) отчетность</w:t>
      </w:r>
    </w:p>
    <w:p w:rsidR="00EF4F0D" w:rsidRPr="00B7788E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аналитического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вышестоящей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191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представляется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распорядителю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«Б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ухгалтерия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Бумажная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комплекта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7.1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402-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B7788E" w:rsidRDefault="00EF4F0D" w:rsidP="00EF4F0D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B7788E">
        <w:rPr>
          <w:b/>
          <w:bCs/>
          <w:color w:val="252525"/>
          <w:spacing w:val="-2"/>
          <w:sz w:val="32"/>
          <w:szCs w:val="32"/>
        </w:rPr>
        <w:t>IX</w:t>
      </w:r>
      <w:r w:rsidRPr="00B7788E">
        <w:rPr>
          <w:b/>
          <w:bCs/>
          <w:color w:val="252525"/>
          <w:spacing w:val="-2"/>
          <w:sz w:val="32"/>
          <w:szCs w:val="32"/>
          <w:lang w:val="ru-RU"/>
        </w:rPr>
        <w:t>. Порядок передачи документов бухгалтерского учета</w:t>
      </w:r>
      <w:r w:rsidRPr="00B7788E">
        <w:rPr>
          <w:b/>
          <w:bCs/>
          <w:color w:val="252525"/>
          <w:spacing w:val="-2"/>
          <w:sz w:val="32"/>
          <w:szCs w:val="32"/>
        </w:rPr>
        <w:t> </w:t>
      </w:r>
      <w:r w:rsidRPr="00B7788E">
        <w:rPr>
          <w:b/>
          <w:bCs/>
          <w:color w:val="252525"/>
          <w:spacing w:val="-2"/>
          <w:sz w:val="32"/>
          <w:szCs w:val="32"/>
          <w:lang w:val="ru-RU"/>
        </w:rPr>
        <w:t>при смене руководителя и главного бухгалтера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увольняемые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новому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печати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штампы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хранящиеся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печатей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исполняющего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печатей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штампов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создаваемой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прилагается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отражать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недостатки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уполномоченным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принимающим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возникли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Default="00EF4F0D" w:rsidP="00EF4F0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Передаются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приложениями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квартальные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годовые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балансы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налоговые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декларации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планированию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бюджетная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смета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закупок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обоснования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регистры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синтетического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аналитического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оборотные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налоговые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регистры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уплате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налогов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лицевых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персонифицированному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кассе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расходные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приходные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ордера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1074B">
        <w:rPr>
          <w:lang w:val="ru-RU"/>
        </w:rPr>
        <w:br/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составленный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ревизии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скрепленный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подрядчиками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контрагентами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подрядчиками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учредительные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постановка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учет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присвоение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номеров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единый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недвижимом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имуществе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праве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собственности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ЕГРП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транспортных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средствах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активах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полной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описей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сверки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подтверждающие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нереальных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исчерпывающей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характеристикой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сумме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акты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ревизий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проверок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F4F0D" w:rsidRPr="00DB3FF9" w:rsidRDefault="00EF4F0D" w:rsidP="00EF4F0D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недостачах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хищениях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переданных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F4F0D" w:rsidRPr="0071074B" w:rsidRDefault="00EF4F0D" w:rsidP="00EF4F0D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иная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бухгалтерская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документация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свидетельствующая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подписании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возражений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пунктам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излагают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подписывают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«Замечания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прилагаются»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Текст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излагается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отдельном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листе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небольшие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объему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фиксировать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самом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увольняемого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Pr="0071074B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: 1-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поселения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увольняется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2-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увольняемому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, 3-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уполномоченному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принимало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71074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4F0D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4F0D" w:rsidRPr="00DB3FF9" w:rsidRDefault="00EF4F0D" w:rsidP="00EF4F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Главный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бухгалтер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Волкова</w:t>
      </w:r>
    </w:p>
    <w:p w:rsidR="001E7109" w:rsidRDefault="001E7109"/>
    <w:sectPr w:rsidR="001E7109" w:rsidSect="00584FF8">
      <w:pgSz w:w="11907" w:h="1683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B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44B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B59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006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B4A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76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765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737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D58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817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13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87D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108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A7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773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F113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D279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AB6D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112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D26E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26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E42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92E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6006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82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8743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AD60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14"/>
  </w:num>
  <w:num w:numId="4">
    <w:abstractNumId w:val="23"/>
  </w:num>
  <w:num w:numId="5">
    <w:abstractNumId w:val="18"/>
  </w:num>
  <w:num w:numId="6">
    <w:abstractNumId w:val="25"/>
  </w:num>
  <w:num w:numId="7">
    <w:abstractNumId w:val="12"/>
  </w:num>
  <w:num w:numId="8">
    <w:abstractNumId w:val="16"/>
  </w:num>
  <w:num w:numId="9">
    <w:abstractNumId w:val="8"/>
  </w:num>
  <w:num w:numId="10">
    <w:abstractNumId w:val="22"/>
  </w:num>
  <w:num w:numId="11">
    <w:abstractNumId w:val="24"/>
  </w:num>
  <w:num w:numId="12">
    <w:abstractNumId w:val="5"/>
  </w:num>
  <w:num w:numId="13">
    <w:abstractNumId w:val="17"/>
  </w:num>
  <w:num w:numId="14">
    <w:abstractNumId w:val="20"/>
  </w:num>
  <w:num w:numId="15">
    <w:abstractNumId w:val="1"/>
  </w:num>
  <w:num w:numId="16">
    <w:abstractNumId w:val="11"/>
  </w:num>
  <w:num w:numId="17">
    <w:abstractNumId w:val="2"/>
  </w:num>
  <w:num w:numId="18">
    <w:abstractNumId w:val="15"/>
  </w:num>
  <w:num w:numId="19">
    <w:abstractNumId w:val="0"/>
  </w:num>
  <w:num w:numId="20">
    <w:abstractNumId w:val="21"/>
  </w:num>
  <w:num w:numId="21">
    <w:abstractNumId w:val="10"/>
  </w:num>
  <w:num w:numId="22">
    <w:abstractNumId w:val="19"/>
  </w:num>
  <w:num w:numId="23">
    <w:abstractNumId w:val="9"/>
  </w:num>
  <w:num w:numId="24">
    <w:abstractNumId w:val="13"/>
  </w:num>
  <w:num w:numId="25">
    <w:abstractNumId w:val="3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F0D"/>
    <w:rsid w:val="001E7109"/>
    <w:rsid w:val="00D01DD9"/>
    <w:rsid w:val="00EF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0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5458</Words>
  <Characters>31115</Characters>
  <Application>Microsoft Office Word</Application>
  <DocSecurity>0</DocSecurity>
  <Lines>259</Lines>
  <Paragraphs>72</Paragraphs>
  <ScaleCrop>false</ScaleCrop>
  <Company/>
  <LinksUpToDate>false</LinksUpToDate>
  <CharactersWithSpaces>36501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2023-02-07T06:32:00Z</dcterms:created>
  <dcterms:modified xsi:type="dcterms:W3CDTF">2023-02-07T06:34:00Z</dcterms:modified>
</cp:coreProperties>
</file>